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tabs>
          <w:tab w:val="right" w:pos="9638"/>
          <w:tab w:val="clear" w:pos="4153"/>
          <w:tab w:val="clear" w:pos="8306"/>
        </w:tabs>
        <w:overflowPunct w:val="0"/>
        <w:autoSpaceDE w:val="0"/>
        <w:autoSpaceDN w:val="0"/>
        <w:adjustRightInd w:val="0"/>
        <w:textAlignment w:val="baseline"/>
        <w:rPr>
          <w:sz w:val="24"/>
          <w:szCs w:val="24"/>
        </w:rPr>
      </w:pPr>
      <w:r>
        <w:rPr>
          <w:rFonts w:ascii="Arial" w:hAnsi="Arial"/>
          <w:b/>
          <w:sz w:val="24"/>
          <w:szCs w:val="24"/>
          <w:lang w:eastAsia="ja-JP"/>
        </w:rPr>
        <w:t>3GPP TSG|WG-</w:t>
      </w:r>
      <w:r>
        <w:rPr>
          <w:rFonts w:hint="eastAsia" w:ascii="Arial" w:hAnsi="Arial"/>
          <w:b/>
          <w:sz w:val="24"/>
          <w:szCs w:val="24"/>
          <w:lang w:eastAsia="zh-CN"/>
        </w:rPr>
        <w:t>SA2</w:t>
      </w:r>
      <w:r>
        <w:rPr>
          <w:rFonts w:ascii="Arial" w:hAnsi="Arial"/>
          <w:b/>
          <w:sz w:val="24"/>
          <w:szCs w:val="24"/>
          <w:lang w:eastAsia="ja-JP"/>
        </w:rPr>
        <w:t xml:space="preserve"> Meeting #</w:t>
      </w:r>
      <w:r>
        <w:rPr>
          <w:rFonts w:hint="eastAsia" w:ascii="Arial" w:hAnsi="Arial"/>
          <w:b/>
          <w:sz w:val="24"/>
          <w:szCs w:val="24"/>
          <w:lang w:eastAsia="zh-CN"/>
        </w:rPr>
        <w:t>15</w:t>
      </w:r>
      <w:r>
        <w:rPr>
          <w:rFonts w:hint="eastAsia" w:ascii="Arial" w:hAnsi="Arial"/>
          <w:b/>
          <w:sz w:val="24"/>
          <w:szCs w:val="24"/>
          <w:lang w:val="en-US" w:eastAsia="zh-CN"/>
        </w:rPr>
        <w:t>8</w:t>
      </w:r>
      <w:r>
        <w:rPr>
          <w:rFonts w:ascii="Arial" w:hAnsi="Arial"/>
          <w:b/>
          <w:sz w:val="24"/>
          <w:szCs w:val="24"/>
          <w:lang w:eastAsia="ja-JP"/>
        </w:rPr>
        <w:t xml:space="preserve"> </w:t>
      </w:r>
      <w:r>
        <w:rPr>
          <w:rFonts w:ascii="Arial" w:hAnsi="Arial"/>
          <w:b/>
          <w:sz w:val="24"/>
          <w:szCs w:val="24"/>
          <w:lang w:eastAsia="ja-JP"/>
        </w:rPr>
        <w:tab/>
      </w:r>
      <w:r>
        <w:rPr>
          <w:rFonts w:ascii="Arial" w:hAnsi="Arial"/>
          <w:b/>
          <w:sz w:val="24"/>
          <w:szCs w:val="24"/>
          <w:lang w:eastAsia="zh-CN"/>
        </w:rPr>
        <w:t>S2-230</w:t>
      </w:r>
      <w:r>
        <w:rPr>
          <w:rFonts w:hint="eastAsia" w:ascii="Arial" w:hAnsi="Arial"/>
          <w:b/>
          <w:sz w:val="24"/>
          <w:szCs w:val="24"/>
          <w:lang w:eastAsia="zh-CN"/>
        </w:rPr>
        <w:t>9138</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cs="Arial"/>
          <w:b/>
          <w:bCs/>
          <w:sz w:val="24"/>
        </w:rPr>
        <w:t xml:space="preserve">Goteborg, Sweden, August 21 – 25, </w:t>
      </w:r>
      <w:r>
        <w:rPr>
          <w:rFonts w:ascii="Arial" w:hAnsi="Arial"/>
          <w:b/>
          <w:sz w:val="24"/>
          <w:szCs w:val="24"/>
          <w:lang w:eastAsia="ja-JP"/>
        </w:rPr>
        <w:t>2023</w:t>
      </w:r>
      <w:r>
        <w:tab/>
      </w:r>
      <w:r>
        <w:rPr>
          <w:rFonts w:ascii="Arial" w:hAnsi="Arial" w:eastAsia="Batang" w:cs="Arial"/>
          <w:b/>
          <w:lang w:eastAsia="zh-CN"/>
        </w:rPr>
        <w:t xml:space="preserve">(revision of </w:t>
      </w:r>
      <w:r>
        <w:rPr>
          <w:rFonts w:hint="eastAsia" w:ascii="Arial" w:hAnsi="Arial" w:eastAsia="Batang" w:cs="Arial"/>
          <w:b/>
          <w:lang w:val="en-US" w:eastAsia="zh-CN"/>
        </w:rPr>
        <w:t>S2-23xxxx</w:t>
      </w:r>
      <w:r>
        <w:rPr>
          <w:rFonts w:ascii="Arial" w:hAnsi="Arial" w:eastAsia="Batang" w:cs="Arial"/>
          <w:b/>
          <w:lang w:eastAsia="zh-CN"/>
        </w:rPr>
        <w:t>)</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 (Moderator)</w:t>
      </w:r>
    </w:p>
    <w:p>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ascii="Arial" w:hAnsi="Arial" w:eastAsia="Batang" w:cs="Arial"/>
          <w:b/>
          <w:sz w:val="24"/>
          <w:szCs w:val="24"/>
          <w:lang w:eastAsia="zh-CN"/>
        </w:rPr>
        <w:t xml:space="preserve"> on </w:t>
      </w:r>
      <w:r>
        <w:rPr>
          <w:rFonts w:hint="eastAsia" w:ascii="Arial" w:hAnsi="Arial" w:eastAsia="Batang" w:cs="Arial"/>
          <w:b/>
          <w:sz w:val="24"/>
          <w:szCs w:val="24"/>
          <w:lang w:val="en-US" w:eastAsia="zh-CN"/>
        </w:rPr>
        <w:t>e</w:t>
      </w:r>
      <w:r>
        <w:rPr>
          <w:rFonts w:ascii="Arial" w:hAnsi="Arial" w:eastAsia="Batang" w:cs="Arial"/>
          <w:b/>
          <w:sz w:val="24"/>
          <w:szCs w:val="24"/>
          <w:lang w:eastAsia="zh-CN"/>
        </w:rPr>
        <w:t xml:space="preserve">nhancing Emergency Services when there is </w:t>
      </w:r>
      <w:r>
        <w:rPr>
          <w:rFonts w:hint="eastAsia" w:ascii="Arial" w:hAnsi="Arial" w:eastAsia="Batang" w:cs="Arial"/>
          <w:b/>
          <w:sz w:val="24"/>
          <w:szCs w:val="24"/>
          <w:lang w:val="en-US" w:eastAsia="zh-CN"/>
        </w:rPr>
        <w:t>no</w:t>
      </w:r>
      <w:r>
        <w:rPr>
          <w:rFonts w:ascii="Arial" w:hAnsi="Arial" w:eastAsia="Batang" w:cs="Arial"/>
          <w:b/>
          <w:sz w:val="24"/>
          <w:szCs w:val="24"/>
          <w:lang w:eastAsia="zh-CN"/>
        </w:rPr>
        <w:t xml:space="preserve"> </w:t>
      </w:r>
      <w:r>
        <w:rPr>
          <w:rFonts w:hint="eastAsia" w:ascii="Arial" w:hAnsi="Arial" w:eastAsia="Batang" w:cs="Arial"/>
          <w:b/>
          <w:sz w:val="24"/>
          <w:szCs w:val="24"/>
          <w:lang w:val="en-US" w:eastAsia="zh-CN"/>
        </w:rPr>
        <w:t xml:space="preserve">alternative </w:t>
      </w:r>
      <w:r>
        <w:rPr>
          <w:rFonts w:ascii="Arial" w:hAnsi="Arial" w:eastAsia="Batang" w:cs="Arial"/>
          <w:b/>
          <w:sz w:val="24"/>
          <w:szCs w:val="24"/>
          <w:lang w:eastAsia="zh-CN"/>
        </w:rPr>
        <w:t>Circuit Switched network</w:t>
      </w:r>
      <w:r>
        <w:rPr>
          <w:rFonts w:hint="eastAsia" w:ascii="Arial" w:hAnsi="Arial" w:eastAsia="Batang" w:cs="Arial"/>
          <w:b/>
          <w:sz w:val="24"/>
          <w:szCs w:val="24"/>
          <w:lang w:val="en-US" w:eastAsia="zh-CN"/>
        </w:rPr>
        <w:t xml:space="preserve"> </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 xml:space="preserve">For </w:t>
      </w:r>
      <w:r>
        <w:rPr>
          <w:rFonts w:hint="eastAsia"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10.5</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995" w:leftChars="0" w:hanging="995" w:firstLineChars="0"/>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 xml:space="preserve">Title: </w:t>
      </w:r>
      <w:r>
        <w:rPr>
          <w:rFonts w:ascii="Arial" w:hAnsi="Arial" w:eastAsia="Times New Roman" w:cs="Times New Roman"/>
          <w:color w:val="auto"/>
          <w:sz w:val="36"/>
          <w:szCs w:val="20"/>
          <w:lang w:eastAsia="zh-CN"/>
        </w:rPr>
        <w:t xml:space="preserve">Study on </w:t>
      </w:r>
      <w:r>
        <w:rPr>
          <w:rFonts w:hint="eastAsia" w:ascii="Arial" w:hAnsi="Arial" w:eastAsia="Times New Roman" w:cs="Times New Roman"/>
          <w:color w:val="auto"/>
          <w:sz w:val="36"/>
          <w:szCs w:val="20"/>
          <w:lang w:val="en-US" w:eastAsia="zh-CN"/>
        </w:rPr>
        <w:t>e</w:t>
      </w:r>
      <w:r>
        <w:rPr>
          <w:rFonts w:ascii="Arial" w:hAnsi="Arial" w:eastAsia="Times New Roman" w:cs="Times New Roman"/>
          <w:color w:val="auto"/>
          <w:sz w:val="36"/>
          <w:szCs w:val="20"/>
          <w:lang w:eastAsia="zh-CN"/>
        </w:rPr>
        <w:t xml:space="preserve">nhancing Emergency Services when there is </w:t>
      </w:r>
      <w:r>
        <w:rPr>
          <w:rFonts w:hint="eastAsia" w:ascii="Arial" w:hAnsi="Arial" w:eastAsia="Times New Roman" w:cs="Times New Roman"/>
          <w:color w:val="auto"/>
          <w:sz w:val="36"/>
          <w:szCs w:val="20"/>
          <w:lang w:val="en-US" w:eastAsia="zh-CN"/>
        </w:rPr>
        <w:t>no</w:t>
      </w:r>
      <w:r>
        <w:rPr>
          <w:rFonts w:ascii="Arial" w:hAnsi="Arial" w:eastAsia="Times New Roman" w:cs="Times New Roman"/>
          <w:color w:val="auto"/>
          <w:sz w:val="36"/>
          <w:szCs w:val="20"/>
          <w:lang w:eastAsia="zh-CN"/>
        </w:rPr>
        <w:t xml:space="preserve"> </w:t>
      </w:r>
      <w:r>
        <w:rPr>
          <w:rFonts w:hint="eastAsia" w:ascii="Arial" w:hAnsi="Arial" w:eastAsia="Times New Roman" w:cs="Times New Roman"/>
          <w:color w:val="auto"/>
          <w:sz w:val="36"/>
          <w:szCs w:val="20"/>
          <w:lang w:val="en-US" w:eastAsia="zh-CN"/>
        </w:rPr>
        <w:t xml:space="preserve">alternative </w:t>
      </w:r>
      <w:r>
        <w:rPr>
          <w:rFonts w:ascii="Arial" w:hAnsi="Arial" w:eastAsia="Times New Roman" w:cs="Times New Roman"/>
          <w:color w:val="auto"/>
          <w:sz w:val="36"/>
          <w:szCs w:val="20"/>
          <w:lang w:eastAsia="zh-CN"/>
        </w:rPr>
        <w:t>Circuit Switched network</w:t>
      </w:r>
    </w:p>
    <w:p>
      <w:pPr>
        <w:pStyle w:val="23"/>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 FS_enhEM0CS</w:t>
      </w:r>
      <w:r>
        <w:rPr>
          <w:rFonts w:ascii="Arial" w:hAnsi="Arial" w:eastAsia="Times New Roman" w:cs="Times New Roman"/>
          <w:color w:val="auto"/>
          <w:sz w:val="36"/>
          <w:szCs w:val="20"/>
          <w:lang w:eastAsia="ja-JP"/>
        </w:rPr>
        <w:tab/>
      </w:r>
    </w:p>
    <w:p>
      <w:pPr>
        <w:pStyle w:val="23"/>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23"/>
      </w:pPr>
    </w:p>
    <w:p>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cs="Times New Roman" w:eastAsiaTheme="minorEastAsia"/>
          <w:color w:val="auto"/>
          <w:sz w:val="36"/>
          <w:szCs w:val="20"/>
          <w:lang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cs="Times New Roman" w:eastAsiaTheme="minorEastAsia"/>
          <w:color w:val="auto"/>
          <w:sz w:val="36"/>
          <w:szCs w:val="20"/>
          <w:lang w:eastAsia="zh-CN"/>
        </w:rPr>
        <w:t>19</w:t>
      </w:r>
    </w:p>
    <w:p>
      <w:pPr>
        <w:pStyle w:val="23"/>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6"/>
            </w:pPr>
            <w:r>
              <w:t>Affects:</w:t>
            </w:r>
          </w:p>
        </w:tc>
        <w:tc>
          <w:tcPr>
            <w:tcW w:w="1275" w:type="dxa"/>
            <w:tcBorders>
              <w:left w:val="nil"/>
              <w:bottom w:val="single" w:color="auto" w:sz="12" w:space="0"/>
            </w:tcBorders>
            <w:shd w:val="clear" w:color="auto" w:fill="E0E0E0"/>
          </w:tcPr>
          <w:p>
            <w:pPr>
              <w:pStyle w:val="26"/>
            </w:pPr>
            <w:r>
              <w:t>UICC apps</w:t>
            </w:r>
          </w:p>
        </w:tc>
        <w:tc>
          <w:tcPr>
            <w:tcW w:w="1037" w:type="dxa"/>
            <w:tcBorders>
              <w:bottom w:val="single" w:color="auto" w:sz="12" w:space="0"/>
            </w:tcBorders>
            <w:shd w:val="clear" w:color="auto" w:fill="E0E0E0"/>
          </w:tcPr>
          <w:p>
            <w:pPr>
              <w:pStyle w:val="26"/>
            </w:pPr>
            <w:r>
              <w:t>ME</w:t>
            </w:r>
          </w:p>
        </w:tc>
        <w:tc>
          <w:tcPr>
            <w:tcW w:w="850" w:type="dxa"/>
            <w:tcBorders>
              <w:bottom w:val="single" w:color="auto" w:sz="12" w:space="0"/>
            </w:tcBorders>
            <w:shd w:val="clear" w:color="auto" w:fill="E0E0E0"/>
          </w:tcPr>
          <w:p>
            <w:pPr>
              <w:pStyle w:val="26"/>
            </w:pPr>
            <w:r>
              <w:t>AN</w:t>
            </w:r>
          </w:p>
        </w:tc>
        <w:tc>
          <w:tcPr>
            <w:tcW w:w="851" w:type="dxa"/>
            <w:tcBorders>
              <w:bottom w:val="single" w:color="auto" w:sz="12" w:space="0"/>
            </w:tcBorders>
            <w:shd w:val="clear" w:color="auto" w:fill="E0E0E0"/>
          </w:tcPr>
          <w:p>
            <w:pPr>
              <w:pStyle w:val="26"/>
            </w:pPr>
            <w:r>
              <w:t>CN</w:t>
            </w:r>
          </w:p>
        </w:tc>
        <w:tc>
          <w:tcPr>
            <w:tcW w:w="1752" w:type="dxa"/>
            <w:tcBorders>
              <w:bottom w:val="single" w:color="auto" w:sz="12" w:space="0"/>
            </w:tcBorders>
            <w:shd w:val="clear" w:color="auto" w:fill="E0E0E0"/>
          </w:tcPr>
          <w:p>
            <w:pPr>
              <w:pStyle w:val="2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pPr>
            <w:r>
              <w:t>Yes</w:t>
            </w:r>
          </w:p>
        </w:tc>
        <w:tc>
          <w:tcPr>
            <w:tcW w:w="1275" w:type="dxa"/>
            <w:tcBorders>
              <w:top w:val="nil"/>
              <w:left w:val="nil"/>
            </w:tcBorders>
          </w:tcPr>
          <w:p>
            <w:pPr>
              <w:pStyle w:val="27"/>
            </w:pPr>
          </w:p>
        </w:tc>
        <w:tc>
          <w:tcPr>
            <w:tcW w:w="1037" w:type="dxa"/>
            <w:tcBorders>
              <w:top w:val="nil"/>
            </w:tcBorders>
          </w:tcPr>
          <w:p>
            <w:pPr>
              <w:pStyle w:val="27"/>
            </w:pPr>
            <w:r>
              <w:t>x</w:t>
            </w:r>
          </w:p>
        </w:tc>
        <w:tc>
          <w:tcPr>
            <w:tcW w:w="850" w:type="dxa"/>
            <w:tcBorders>
              <w:top w:val="nil"/>
            </w:tcBorders>
          </w:tcPr>
          <w:p>
            <w:pPr>
              <w:pStyle w:val="27"/>
            </w:pPr>
          </w:p>
        </w:tc>
        <w:tc>
          <w:tcPr>
            <w:tcW w:w="851" w:type="dxa"/>
            <w:tcBorders>
              <w:top w:val="nil"/>
            </w:tcBorders>
          </w:tcPr>
          <w:p>
            <w:pPr>
              <w:pStyle w:val="27"/>
            </w:pPr>
            <w:r>
              <w:t>x</w:t>
            </w:r>
          </w:p>
        </w:tc>
        <w:tc>
          <w:tcPr>
            <w:tcW w:w="1752" w:type="dxa"/>
            <w:tcBorders>
              <w:top w:val="nil"/>
            </w:tcBorders>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No</w:t>
            </w:r>
          </w:p>
        </w:tc>
        <w:tc>
          <w:tcPr>
            <w:tcW w:w="1275" w:type="dxa"/>
            <w:tcBorders>
              <w:left w:val="nil"/>
            </w:tcBorders>
          </w:tcPr>
          <w:p>
            <w:pPr>
              <w:pStyle w:val="27"/>
            </w:pPr>
          </w:p>
        </w:tc>
        <w:tc>
          <w:tcPr>
            <w:tcW w:w="1037" w:type="dxa"/>
          </w:tcPr>
          <w:p>
            <w:pPr>
              <w:pStyle w:val="27"/>
            </w:pPr>
          </w:p>
        </w:tc>
        <w:tc>
          <w:tcPr>
            <w:tcW w:w="850" w:type="dxa"/>
          </w:tcPr>
          <w:p>
            <w:pPr>
              <w:pStyle w:val="27"/>
            </w:pPr>
          </w:p>
        </w:tc>
        <w:tc>
          <w:tcPr>
            <w:tcW w:w="851" w:type="dxa"/>
          </w:tcPr>
          <w:p>
            <w:pPr>
              <w:pStyle w:val="27"/>
            </w:pPr>
          </w:p>
        </w:tc>
        <w:tc>
          <w:tcPr>
            <w:tcW w:w="1752" w:type="dxa"/>
          </w:tcPr>
          <w:p>
            <w:pPr>
              <w:pStyle w:val="27"/>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Don't know</w:t>
            </w:r>
          </w:p>
        </w:tc>
        <w:tc>
          <w:tcPr>
            <w:tcW w:w="1275" w:type="dxa"/>
            <w:tcBorders>
              <w:left w:val="nil"/>
            </w:tcBorders>
          </w:tcPr>
          <w:p>
            <w:pPr>
              <w:pStyle w:val="27"/>
            </w:pPr>
            <w:r>
              <w:t>x</w:t>
            </w:r>
          </w:p>
        </w:tc>
        <w:tc>
          <w:tcPr>
            <w:tcW w:w="1037" w:type="dxa"/>
          </w:tcPr>
          <w:p>
            <w:pPr>
              <w:pStyle w:val="27"/>
            </w:pPr>
          </w:p>
        </w:tc>
        <w:tc>
          <w:tcPr>
            <w:tcW w:w="850" w:type="dxa"/>
          </w:tcPr>
          <w:p>
            <w:pPr>
              <w:pStyle w:val="27"/>
            </w:pPr>
            <w:r>
              <w:t>x</w:t>
            </w:r>
          </w:p>
        </w:tc>
        <w:tc>
          <w:tcPr>
            <w:tcW w:w="851" w:type="dxa"/>
          </w:tcPr>
          <w:p>
            <w:pPr>
              <w:pStyle w:val="27"/>
            </w:pPr>
          </w:p>
        </w:tc>
        <w:tc>
          <w:tcPr>
            <w:tcW w:w="1752" w:type="dxa"/>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3"/>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r>
              <w:t>x</w:t>
            </w:r>
          </w:p>
        </w:tc>
        <w:tc>
          <w:tcPr>
            <w:tcW w:w="2917" w:type="dxa"/>
            <w:shd w:val="clear" w:color="auto" w:fill="E0E0E0"/>
          </w:tcPr>
          <w:p>
            <w:pPr>
              <w:pStyle w:val="26"/>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ind w:right="-99"/>
              <w:jc w:val="left"/>
            </w:pPr>
            <w:r>
              <w:t>Acronym</w:t>
            </w:r>
          </w:p>
        </w:tc>
        <w:tc>
          <w:tcPr>
            <w:tcW w:w="1101" w:type="dxa"/>
            <w:shd w:val="clear" w:color="auto" w:fill="E0E0E0"/>
          </w:tcPr>
          <w:p>
            <w:pPr>
              <w:pStyle w:val="26"/>
              <w:ind w:right="-99"/>
              <w:jc w:val="left"/>
            </w:pPr>
            <w:r>
              <w:t>Working Group</w:t>
            </w:r>
          </w:p>
        </w:tc>
        <w:tc>
          <w:tcPr>
            <w:tcW w:w="1101" w:type="dxa"/>
            <w:shd w:val="clear" w:color="auto" w:fill="E0E0E0"/>
          </w:tcPr>
          <w:p>
            <w:pPr>
              <w:pStyle w:val="26"/>
              <w:ind w:right="-99"/>
              <w:jc w:val="left"/>
            </w:pPr>
            <w:r>
              <w:t>Unique ID</w:t>
            </w:r>
          </w:p>
        </w:tc>
        <w:tc>
          <w:tcPr>
            <w:tcW w:w="6010" w:type="dxa"/>
            <w:shd w:val="clear" w:color="auto" w:fill="E0E0E0"/>
          </w:tcPr>
          <w:p>
            <w:pPr>
              <w:pStyle w:val="2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t>N/A</w:t>
            </w:r>
          </w:p>
        </w:tc>
        <w:tc>
          <w:tcPr>
            <w:tcW w:w="1101" w:type="dxa"/>
          </w:tcPr>
          <w:p>
            <w:pPr>
              <w:pStyle w:val="25"/>
            </w:pPr>
            <w:r>
              <w:t>N/A</w:t>
            </w:r>
          </w:p>
        </w:tc>
        <w:tc>
          <w:tcPr>
            <w:tcW w:w="1101" w:type="dxa"/>
          </w:tcPr>
          <w:p>
            <w:pPr>
              <w:pStyle w:val="25"/>
            </w:pPr>
            <w:r>
              <w:t>N/A</w:t>
            </w:r>
          </w:p>
        </w:tc>
        <w:tc>
          <w:tcPr>
            <w:tcW w:w="6010" w:type="dxa"/>
          </w:tcPr>
          <w:p>
            <w:pPr>
              <w:pStyle w:val="25"/>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3"/>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pPr>
            <w:r>
              <w:t>Unique ID</w:t>
            </w:r>
          </w:p>
        </w:tc>
        <w:tc>
          <w:tcPr>
            <w:tcW w:w="3326" w:type="dxa"/>
            <w:shd w:val="clear" w:color="auto" w:fill="E0E0E0"/>
          </w:tcPr>
          <w:p>
            <w:pPr>
              <w:pStyle w:val="26"/>
            </w:pPr>
            <w:r>
              <w:t>Title</w:t>
            </w:r>
          </w:p>
        </w:tc>
        <w:tc>
          <w:tcPr>
            <w:tcW w:w="5099" w:type="dxa"/>
            <w:shd w:val="clear" w:color="auto" w:fill="E0E0E0"/>
          </w:tcPr>
          <w:p>
            <w:pPr>
              <w:pStyle w:val="26"/>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t>TBD</w:t>
            </w:r>
          </w:p>
        </w:tc>
        <w:tc>
          <w:tcPr>
            <w:tcW w:w="3326" w:type="dxa"/>
          </w:tcPr>
          <w:p>
            <w:pPr>
              <w:pStyle w:val="25"/>
            </w:pPr>
          </w:p>
        </w:tc>
        <w:tc>
          <w:tcPr>
            <w:tcW w:w="5099" w:type="dxa"/>
          </w:tcPr>
          <w:p>
            <w:pPr>
              <w:pStyle w:val="23"/>
              <w:rPr>
                <w:i w:val="0"/>
                <w:iCs/>
              </w:rPr>
            </w:pPr>
            <w:r>
              <w:rPr>
                <w:i w:val="0"/>
                <w:iCs/>
              </w:rPr>
              <w:t xml:space="preserve">TBD </w:t>
            </w:r>
          </w:p>
        </w:tc>
      </w:tr>
    </w:tbl>
    <w:p>
      <w:pPr>
        <w:pStyle w:val="28"/>
      </w:pPr>
    </w:p>
    <w:p>
      <w:pPr>
        <w:rPr>
          <w:b/>
          <w:bCs/>
        </w:rPr>
      </w:pPr>
      <w:r>
        <w:rPr>
          <w:b/>
          <w:bCs/>
        </w:rPr>
        <w:t>Dependency on non-3GPP (draft) specification:</w:t>
      </w:r>
    </w:p>
    <w:p>
      <w:pPr>
        <w:pStyle w:val="23"/>
      </w:pPr>
      <w:r>
        <w:t>None</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pStyle w:val="23"/>
        <w:rPr>
          <w:i w:val="0"/>
          <w:iCs/>
        </w:rPr>
      </w:pPr>
      <w:r>
        <w:rPr>
          <w:i w:val="0"/>
          <w:iCs/>
        </w:rPr>
        <w:t>When IP Voice was initially introduced it was undetermined how effective they would be at meeting regulatory requirements for emergency services, and thus emergency service voice calls were specified to attempt emergency services using Circuit Switched (CS) capabilities in case the corresponding IP voice emergency services were not implemented or not available (according to a table in TS 23.294). While IP voice services have improved in terms of reliability and capability over time, this capability has remained as an effective means of ensuring a user is connected to emergency services if there are problems with the PS network (including congestion). However, an increasing number of operators are retiring their 2G and 3G access networks and thus these networks no longer have a CS option – the attempt to use the CS access network for emergency calls is now causing a delay before the next step in attempting an emergency call by any available network is attempted.  Currently, there is no means by which the UE knows the network it is connected to does not have CS voice capability, and since the UE may roam to networks that may have CS as well as networks that don’t, it is not prudent to skip the step even when the avoidance of a needless delay would be beneficial for the user.</w:t>
      </w:r>
    </w:p>
    <w:p>
      <w:pPr>
        <w:pStyle w:val="23"/>
        <w:rPr>
          <w:i w:val="0"/>
          <w:iCs/>
        </w:rPr>
      </w:pPr>
      <w:r>
        <w:rPr>
          <w:i w:val="0"/>
          <w:iCs/>
        </w:rPr>
        <w:t>If a means to identify networks no longer supporting CS voice was provided, UEs could avoid needless CS activities and improve performance of emergency calls. Additionally, when it is known no CS network for emergency voice is available, the network and UE may be able to perform other actions steps to improve emergency performance when an IP emergency voice call attempt fails.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rPr>
          <w:rFonts w:hint="eastAsia" w:eastAsia="宋体"/>
          <w:lang w:val="en-US" w:eastAsia="zh-CN"/>
        </w:rPr>
      </w:pPr>
      <w:r>
        <w:t>The objectives of this study</w:t>
      </w:r>
      <w:r>
        <w:rPr>
          <w:rFonts w:hint="eastAsia" w:eastAsia="宋体"/>
          <w:lang w:val="en-US" w:eastAsia="zh-CN"/>
        </w:rPr>
        <w:t xml:space="preserve"> is to</w:t>
      </w:r>
    </w:p>
    <w:p>
      <w:pPr>
        <w:rPr>
          <w:rFonts w:hint="eastAsia" w:eastAsia="宋体"/>
          <w:lang w:val="en-US" w:eastAsia="zh-CN"/>
        </w:rPr>
      </w:pPr>
    </w:p>
    <w:p>
      <w:pPr>
        <w:numPr>
          <w:ilvl w:val="0"/>
          <w:numId w:val="1"/>
        </w:numPr>
        <w:ind w:left="420" w:leftChars="0" w:hanging="420" w:firstLineChars="0"/>
        <w:rPr>
          <w:rFonts w:hint="eastAsia"/>
        </w:rPr>
      </w:pPr>
      <w:r>
        <w:rPr>
          <w:rFonts w:hint="eastAsia"/>
          <w:lang w:val="en-US" w:eastAsia="zh-CN"/>
        </w:rPr>
        <w:t xml:space="preserve">WT-1: study and </w:t>
      </w:r>
      <w:r>
        <w:rPr>
          <w:rFonts w:hint="eastAsia"/>
        </w:rPr>
        <w:t xml:space="preserve">specify how the </w:t>
      </w:r>
      <w:r>
        <w:rPr>
          <w:rFonts w:hint="eastAsia"/>
          <w:lang w:val="en-US" w:eastAsia="zh-CN"/>
        </w:rPr>
        <w:t>UE</w:t>
      </w:r>
      <w:r>
        <w:rPr>
          <w:rFonts w:hint="eastAsia"/>
        </w:rPr>
        <w:t xml:space="preserve"> capable of emergency services connected to a PS network </w:t>
      </w:r>
      <w:r>
        <w:rPr>
          <w:rFonts w:hint="eastAsia"/>
          <w:lang w:val="en-US" w:eastAsia="zh-CN"/>
        </w:rPr>
        <w:t xml:space="preserve">is indicated </w:t>
      </w:r>
      <w:r>
        <w:rPr>
          <w:rFonts w:hint="eastAsia"/>
        </w:rPr>
        <w:t>that the PS network has no corresponding CS network on</w:t>
      </w:r>
      <w:r>
        <w:rPr>
          <w:rFonts w:hint="eastAsia"/>
          <w:lang w:val="en-US" w:eastAsia="zh-CN"/>
        </w:rPr>
        <w:t xml:space="preserve"> </w:t>
      </w:r>
      <w:r>
        <w:rPr>
          <w:rFonts w:hint="eastAsia"/>
        </w:rPr>
        <w:t>which emergency service attempts can be re-attempted</w:t>
      </w:r>
      <w:r>
        <w:rPr>
          <w:rFonts w:hint="eastAsia"/>
          <w:lang w:val="en-US" w:eastAsia="zh-CN"/>
        </w:rPr>
        <w:t xml:space="preserve"> and the corresponding behavior of the UE</w:t>
      </w:r>
      <w:r>
        <w:rPr>
          <w:rFonts w:hint="eastAsia"/>
        </w:rPr>
        <w:t>.</w:t>
      </w:r>
    </w:p>
    <w:p>
      <w:pPr>
        <w:rPr>
          <w:rFonts w:hint="eastAsia"/>
          <w:sz w:val="20"/>
          <w:szCs w:val="20"/>
        </w:rPr>
      </w:pPr>
    </w:p>
    <w:p>
      <w:pPr>
        <w:keepNext/>
        <w:keepLines/>
        <w:overflowPunct w:val="0"/>
        <w:autoSpaceDE w:val="0"/>
        <w:autoSpaceDN w:val="0"/>
        <w:adjustRightInd w:val="0"/>
        <w:spacing w:before="180" w:after="180"/>
        <w:ind w:left="1134" w:hanging="1134"/>
        <w:textAlignment w:val="baseline"/>
        <w:outlineLvl w:val="1"/>
        <w:rPr>
          <w:rFonts w:ascii="Arial" w:hAnsi="Arial" w:eastAsia="等线"/>
          <w:sz w:val="32"/>
          <w:lang w:eastAsia="ja-JP"/>
        </w:rPr>
      </w:pPr>
      <w:r>
        <w:rPr>
          <w:rFonts w:ascii="Arial" w:hAnsi="Arial" w:eastAsia="等线"/>
          <w:sz w:val="32"/>
          <w:lang w:eastAsia="ja-JP"/>
        </w:rPr>
        <w:t>TU estimates and dependencies</w:t>
      </w:r>
    </w:p>
    <w:tbl>
      <w:tblPr>
        <w:tblStyle w:val="14"/>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1428"/>
        <w:gridCol w:w="1605"/>
        <w:gridCol w:w="1605"/>
        <w:gridCol w:w="3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Work Task ID</w:t>
            </w:r>
          </w:p>
        </w:tc>
        <w:tc>
          <w:tcPr>
            <w:tcW w:w="1428"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(Study)</w:t>
            </w:r>
          </w:p>
        </w:tc>
        <w:tc>
          <w:tcPr>
            <w:tcW w:w="1605"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(Normative)</w:t>
            </w:r>
          </w:p>
        </w:tc>
        <w:tc>
          <w:tcPr>
            <w:tcW w:w="1605"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RAN Dependency</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(Yes/No/Maybe) </w:t>
            </w:r>
          </w:p>
        </w:tc>
        <w:tc>
          <w:tcPr>
            <w:tcW w:w="3709"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Inter Work Tasks Dependency </w:t>
            </w:r>
          </w:p>
          <w:p>
            <w:pPr>
              <w:overflowPunct w:val="0"/>
              <w:autoSpaceDE w:val="0"/>
              <w:autoSpaceDN w:val="0"/>
              <w:adjustRightInd w:val="0"/>
              <w:spacing w:after="180"/>
              <w:textAlignment w:val="baseline"/>
              <w:rPr>
                <w:rFonts w:eastAsia="等线"/>
                <w:color w:val="FF0000"/>
                <w:lang w:eastAsia="ja-JP"/>
              </w:rPr>
            </w:pPr>
            <w:r>
              <w:rPr>
                <w:rFonts w:eastAsia="等线"/>
                <w:color w:val="FF0000"/>
                <w:lang w:eastAsia="ja-JP"/>
              </w:rPr>
              <w:t>Editor’s Note: This column should highlight if WT#x is self-contained, or is depended on completion of other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eastAsia="等线"/>
                <w:color w:val="000000"/>
                <w:lang w:eastAsia="ja-JP"/>
              </w:rPr>
              <w:t>WT</w:t>
            </w:r>
            <w:r>
              <w:rPr>
                <w:rFonts w:hint="eastAsia" w:eastAsia="等线"/>
                <w:color w:val="000000"/>
                <w:lang w:val="en-US" w:eastAsia="zh-CN"/>
              </w:rPr>
              <w:t>-</w:t>
            </w:r>
            <w:r>
              <w:rPr>
                <w:rFonts w:eastAsia="等线"/>
                <w:color w:val="000000"/>
                <w:lang w:eastAsia="ja-JP"/>
              </w:rPr>
              <w:t>1</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No</w:t>
            </w:r>
          </w:p>
        </w:tc>
        <w:tc>
          <w:tcPr>
            <w:tcW w:w="3709" w:type="dxa"/>
          </w:tcPr>
          <w:p>
            <w:pPr>
              <w:overflowPunct w:val="0"/>
              <w:autoSpaceDE w:val="0"/>
              <w:autoSpaceDN w:val="0"/>
              <w:adjustRightInd w:val="0"/>
              <w:spacing w:after="180"/>
              <w:textAlignment w:val="baseline"/>
              <w:rPr>
                <w:rFonts w:hint="eastAsia" w:eastAsia="等线"/>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p>
        </w:tc>
        <w:tc>
          <w:tcPr>
            <w:tcW w:w="1605" w:type="dxa"/>
          </w:tcPr>
          <w:p>
            <w:pPr>
              <w:overflowPunct w:val="0"/>
              <w:autoSpaceDE w:val="0"/>
              <w:autoSpaceDN w:val="0"/>
              <w:adjustRightInd w:val="0"/>
              <w:spacing w:after="180"/>
              <w:textAlignment w:val="baseline"/>
              <w:rPr>
                <w:rFonts w:hint="eastAsia" w:eastAsia="等线"/>
                <w:color w:val="000000"/>
                <w:lang w:eastAsia="zh-CN"/>
              </w:rPr>
            </w:pPr>
          </w:p>
        </w:tc>
        <w:tc>
          <w:tcPr>
            <w:tcW w:w="1605" w:type="dxa"/>
          </w:tcPr>
          <w:p>
            <w:pPr>
              <w:overflowPunct w:val="0"/>
              <w:autoSpaceDE w:val="0"/>
              <w:autoSpaceDN w:val="0"/>
              <w:adjustRightInd w:val="0"/>
              <w:spacing w:after="180"/>
              <w:textAlignment w:val="baseline"/>
              <w:rPr>
                <w:rFonts w:eastAsia="宋体"/>
                <w:lang w:eastAsia="zh-CN"/>
              </w:rPr>
            </w:pPr>
          </w:p>
        </w:tc>
        <w:tc>
          <w:tcPr>
            <w:tcW w:w="3709" w:type="dxa"/>
          </w:tcPr>
          <w:p>
            <w:pPr>
              <w:overflowPunct w:val="0"/>
              <w:autoSpaceDE w:val="0"/>
              <w:autoSpaceDN w:val="0"/>
              <w:adjustRightInd w:val="0"/>
              <w:spacing w:after="180"/>
              <w:textAlignment w:val="baseline"/>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p>
        </w:tc>
        <w:tc>
          <w:tcPr>
            <w:tcW w:w="1605" w:type="dxa"/>
          </w:tcPr>
          <w:p>
            <w:pPr>
              <w:overflowPunct w:val="0"/>
              <w:autoSpaceDE w:val="0"/>
              <w:autoSpaceDN w:val="0"/>
              <w:adjustRightInd w:val="0"/>
              <w:spacing w:after="180"/>
              <w:textAlignment w:val="baseline"/>
              <w:rPr>
                <w:rFonts w:hint="eastAsia" w:eastAsia="等线"/>
                <w:color w:val="000000"/>
                <w:lang w:eastAsia="zh-CN"/>
              </w:rPr>
            </w:pPr>
          </w:p>
        </w:tc>
        <w:tc>
          <w:tcPr>
            <w:tcW w:w="1605" w:type="dxa"/>
          </w:tcPr>
          <w:p>
            <w:pPr>
              <w:overflowPunct w:val="0"/>
              <w:autoSpaceDE w:val="0"/>
              <w:autoSpaceDN w:val="0"/>
              <w:adjustRightInd w:val="0"/>
              <w:spacing w:after="180"/>
              <w:textAlignment w:val="baseline"/>
              <w:rPr>
                <w:rFonts w:eastAsia="宋体"/>
                <w:lang w:eastAsia="zh-CN"/>
              </w:rPr>
            </w:pPr>
          </w:p>
        </w:tc>
        <w:tc>
          <w:tcPr>
            <w:tcW w:w="3709" w:type="dxa"/>
          </w:tcPr>
          <w:p>
            <w:pPr>
              <w:overflowPunct w:val="0"/>
              <w:autoSpaceDE w:val="0"/>
              <w:autoSpaceDN w:val="0"/>
              <w:adjustRightInd w:val="0"/>
              <w:spacing w:after="180"/>
              <w:textAlignment w:val="baseline"/>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p>
        </w:tc>
        <w:tc>
          <w:tcPr>
            <w:tcW w:w="1428" w:type="dxa"/>
          </w:tcPr>
          <w:p>
            <w:pPr>
              <w:overflowPunct w:val="0"/>
              <w:autoSpaceDE w:val="0"/>
              <w:autoSpaceDN w:val="0"/>
              <w:adjustRightInd w:val="0"/>
              <w:spacing w:after="180"/>
              <w:textAlignment w:val="baseline"/>
              <w:rPr>
                <w:rFonts w:hint="eastAsia" w:eastAsia="等线"/>
                <w:color w:val="000000"/>
                <w:lang w:eastAsia="zh-CN"/>
              </w:rPr>
            </w:pPr>
          </w:p>
        </w:tc>
        <w:tc>
          <w:tcPr>
            <w:tcW w:w="1605" w:type="dxa"/>
          </w:tcPr>
          <w:p>
            <w:pPr>
              <w:overflowPunct w:val="0"/>
              <w:autoSpaceDE w:val="0"/>
              <w:autoSpaceDN w:val="0"/>
              <w:adjustRightInd w:val="0"/>
              <w:spacing w:after="180"/>
              <w:textAlignment w:val="baseline"/>
              <w:rPr>
                <w:rFonts w:hint="eastAsia" w:eastAsia="等线"/>
                <w:color w:val="000000"/>
                <w:lang w:eastAsia="zh-CN"/>
              </w:rPr>
            </w:pPr>
          </w:p>
        </w:tc>
        <w:tc>
          <w:tcPr>
            <w:tcW w:w="1605" w:type="dxa"/>
          </w:tcPr>
          <w:p>
            <w:pPr>
              <w:overflowPunct w:val="0"/>
              <w:autoSpaceDE w:val="0"/>
              <w:autoSpaceDN w:val="0"/>
              <w:adjustRightInd w:val="0"/>
              <w:spacing w:after="180"/>
              <w:textAlignment w:val="baseline"/>
              <w:rPr>
                <w:rFonts w:eastAsia="宋体"/>
                <w:lang w:eastAsia="zh-CN"/>
              </w:rPr>
            </w:pPr>
          </w:p>
        </w:tc>
        <w:tc>
          <w:tcPr>
            <w:tcW w:w="3709" w:type="dxa"/>
          </w:tcPr>
          <w:p>
            <w:pPr>
              <w:overflowPunct w:val="0"/>
              <w:autoSpaceDE w:val="0"/>
              <w:autoSpaceDN w:val="0"/>
              <w:adjustRightInd w:val="0"/>
              <w:spacing w:after="180"/>
              <w:textAlignment w:val="baseline"/>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p>
        </w:tc>
        <w:tc>
          <w:tcPr>
            <w:tcW w:w="1428" w:type="dxa"/>
          </w:tcPr>
          <w:p>
            <w:pPr>
              <w:overflowPunct w:val="0"/>
              <w:autoSpaceDE w:val="0"/>
              <w:autoSpaceDN w:val="0"/>
              <w:adjustRightInd w:val="0"/>
              <w:spacing w:after="180"/>
              <w:textAlignment w:val="baseline"/>
              <w:rPr>
                <w:rFonts w:eastAsia="等线"/>
                <w:color w:val="000000"/>
                <w:lang w:eastAsia="zh-CN"/>
              </w:rPr>
            </w:pPr>
          </w:p>
        </w:tc>
        <w:tc>
          <w:tcPr>
            <w:tcW w:w="1605" w:type="dxa"/>
          </w:tcPr>
          <w:p>
            <w:pPr>
              <w:overflowPunct w:val="0"/>
              <w:autoSpaceDE w:val="0"/>
              <w:autoSpaceDN w:val="0"/>
              <w:adjustRightInd w:val="0"/>
              <w:spacing w:after="180"/>
              <w:textAlignment w:val="baseline"/>
              <w:rPr>
                <w:rFonts w:eastAsia="等线"/>
                <w:color w:val="000000"/>
                <w:lang w:eastAsia="zh-CN"/>
              </w:rPr>
            </w:pPr>
          </w:p>
        </w:tc>
        <w:tc>
          <w:tcPr>
            <w:tcW w:w="1605" w:type="dxa"/>
          </w:tcPr>
          <w:p>
            <w:pPr>
              <w:overflowPunct w:val="0"/>
              <w:autoSpaceDE w:val="0"/>
              <w:autoSpaceDN w:val="0"/>
              <w:adjustRightInd w:val="0"/>
              <w:spacing w:after="180"/>
              <w:textAlignment w:val="baseline"/>
              <w:rPr>
                <w:rFonts w:hint="eastAsia" w:eastAsia="等线"/>
                <w:color w:val="000000"/>
                <w:lang w:eastAsia="zh-CN"/>
              </w:rPr>
            </w:pPr>
          </w:p>
        </w:tc>
        <w:tc>
          <w:tcPr>
            <w:tcW w:w="3709" w:type="dxa"/>
          </w:tcPr>
          <w:p>
            <w:pPr>
              <w:overflowPunct w:val="0"/>
              <w:autoSpaceDE w:val="0"/>
              <w:autoSpaceDN w:val="0"/>
              <w:adjustRightInd w:val="0"/>
              <w:spacing w:after="180"/>
              <w:textAlignment w:val="baseline"/>
              <w:rPr>
                <w:rFonts w:hint="eastAsia"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vAlign w:val="top"/>
          </w:tcPr>
          <w:p>
            <w:pPr>
              <w:overflowPunct w:val="0"/>
              <w:autoSpaceDE w:val="0"/>
              <w:autoSpaceDN w:val="0"/>
              <w:adjustRightInd w:val="0"/>
              <w:spacing w:after="180"/>
              <w:textAlignment w:val="baseline"/>
              <w:rPr>
                <w:rFonts w:hint="eastAsia" w:eastAsia="等线"/>
                <w:color w:val="000000"/>
                <w:lang w:eastAsia="zh-CN"/>
              </w:rPr>
            </w:pPr>
          </w:p>
        </w:tc>
        <w:tc>
          <w:tcPr>
            <w:tcW w:w="1428" w:type="dxa"/>
            <w:vAlign w:val="top"/>
          </w:tcPr>
          <w:p>
            <w:pPr>
              <w:overflowPunct w:val="0"/>
              <w:autoSpaceDE w:val="0"/>
              <w:autoSpaceDN w:val="0"/>
              <w:adjustRightInd w:val="0"/>
              <w:spacing w:after="180"/>
              <w:textAlignment w:val="baseline"/>
              <w:rPr>
                <w:rFonts w:hint="eastAsia" w:eastAsia="等线"/>
                <w:color w:val="000000"/>
                <w:lang w:eastAsia="zh-CN"/>
              </w:rPr>
            </w:pPr>
          </w:p>
        </w:tc>
        <w:tc>
          <w:tcPr>
            <w:tcW w:w="1605" w:type="dxa"/>
            <w:vAlign w:val="top"/>
          </w:tcPr>
          <w:p>
            <w:pPr>
              <w:overflowPunct w:val="0"/>
              <w:autoSpaceDE w:val="0"/>
              <w:autoSpaceDN w:val="0"/>
              <w:adjustRightInd w:val="0"/>
              <w:spacing w:after="180"/>
              <w:textAlignment w:val="baseline"/>
              <w:rPr>
                <w:rFonts w:hint="eastAsia" w:eastAsia="等线"/>
                <w:color w:val="000000"/>
                <w:lang w:eastAsia="zh-CN"/>
              </w:rPr>
            </w:pPr>
          </w:p>
        </w:tc>
        <w:tc>
          <w:tcPr>
            <w:tcW w:w="1605" w:type="dxa"/>
            <w:vAlign w:val="top"/>
          </w:tcPr>
          <w:p>
            <w:pPr>
              <w:overflowPunct w:val="0"/>
              <w:autoSpaceDE w:val="0"/>
              <w:autoSpaceDN w:val="0"/>
              <w:adjustRightInd w:val="0"/>
              <w:spacing w:after="180"/>
              <w:textAlignment w:val="baseline"/>
              <w:rPr>
                <w:rFonts w:hint="eastAsia" w:eastAsia="等线"/>
                <w:color w:val="000000"/>
                <w:lang w:eastAsia="zh-CN"/>
              </w:rPr>
            </w:pPr>
          </w:p>
        </w:tc>
        <w:tc>
          <w:tcPr>
            <w:tcW w:w="3709" w:type="dxa"/>
            <w:vAlign w:val="top"/>
          </w:tcPr>
          <w:p>
            <w:pPr>
              <w:overflowPunct w:val="0"/>
              <w:autoSpaceDE w:val="0"/>
              <w:autoSpaceDN w:val="0"/>
              <w:adjustRightInd w:val="0"/>
              <w:spacing w:after="180"/>
              <w:textAlignment w:val="baseline"/>
              <w:rPr>
                <w:rFonts w:eastAsia="等线"/>
                <w:lang w:eastAsia="zh-CN"/>
              </w:rPr>
            </w:pPr>
          </w:p>
        </w:tc>
      </w:tr>
    </w:tbl>
    <w:p>
      <w:pPr>
        <w:overflowPunct w:val="0"/>
        <w:autoSpaceDE w:val="0"/>
        <w:autoSpaceDN w:val="0"/>
        <w:adjustRightInd w:val="0"/>
        <w:spacing w:after="180"/>
        <w:textAlignment w:val="baseline"/>
        <w:rPr>
          <w:rFonts w:eastAsia="等线"/>
          <w:color w:val="000000"/>
          <w:lang w:eastAsia="ja-JP"/>
        </w:rPr>
      </w:pPr>
    </w:p>
    <w:p>
      <w:pPr>
        <w:overflowPunct w:val="0"/>
        <w:autoSpaceDE w:val="0"/>
        <w:autoSpaceDN w:val="0"/>
        <w:adjustRightInd w:val="0"/>
        <w:spacing w:after="180"/>
        <w:textAlignment w:val="baseline"/>
        <w:rPr>
          <w:rFonts w:hint="eastAsia" w:eastAsia="等线"/>
          <w:bCs/>
          <w:color w:val="000000"/>
          <w:lang w:eastAsia="zh-CN"/>
        </w:rPr>
      </w:pPr>
      <w:r>
        <w:rPr>
          <w:rFonts w:eastAsia="等线"/>
          <w:bCs/>
          <w:color w:val="000000"/>
          <w:lang w:eastAsia="ja-JP"/>
        </w:rPr>
        <w:t xml:space="preserve">Total TU estimates for the study phase: </w:t>
      </w:r>
      <w:r>
        <w:rPr>
          <w:rFonts w:hint="eastAsia" w:eastAsia="等线"/>
          <w:bCs/>
          <w:color w:val="000000"/>
          <w:lang w:val="en-US" w:eastAsia="zh-CN"/>
        </w:rPr>
        <w:t>1</w:t>
      </w:r>
    </w:p>
    <w:p>
      <w:pPr>
        <w:overflowPunct w:val="0"/>
        <w:autoSpaceDE w:val="0"/>
        <w:autoSpaceDN w:val="0"/>
        <w:adjustRightInd w:val="0"/>
        <w:spacing w:after="180"/>
        <w:textAlignment w:val="baseline"/>
        <w:rPr>
          <w:rFonts w:hint="default" w:eastAsia="等线"/>
          <w:bCs/>
          <w:color w:val="000000"/>
          <w:lang w:val="en-US" w:eastAsia="zh-CN"/>
        </w:rPr>
      </w:pPr>
      <w:r>
        <w:rPr>
          <w:rFonts w:eastAsia="等线"/>
          <w:bCs/>
          <w:color w:val="000000"/>
          <w:lang w:eastAsia="ja-JP"/>
        </w:rPr>
        <w:t xml:space="preserve">Total TU estimates for the normative phase: </w:t>
      </w:r>
      <w:r>
        <w:rPr>
          <w:rFonts w:hint="eastAsia" w:eastAsia="等线"/>
          <w:bCs/>
          <w:color w:val="000000"/>
          <w:lang w:val="en-US" w:eastAsia="zh-CN"/>
        </w:rPr>
        <w:t>0.5</w:t>
      </w:r>
    </w:p>
    <w:p>
      <w:pPr>
        <w:overflowPunct w:val="0"/>
        <w:autoSpaceDE w:val="0"/>
        <w:autoSpaceDN w:val="0"/>
        <w:adjustRightInd w:val="0"/>
        <w:spacing w:after="180"/>
        <w:textAlignment w:val="baseline"/>
        <w:rPr>
          <w:rFonts w:hint="default" w:eastAsia="宋体"/>
          <w:b/>
          <w:bCs/>
          <w:lang w:val="en-US" w:eastAsia="zh-CN"/>
        </w:rPr>
      </w:pPr>
      <w:r>
        <w:rPr>
          <w:rFonts w:eastAsia="等线"/>
          <w:bCs/>
          <w:color w:val="000000"/>
          <w:lang w:eastAsia="ja-JP"/>
        </w:rPr>
        <w:t xml:space="preserve">Total TU estimates: </w:t>
      </w:r>
      <w:r>
        <w:rPr>
          <w:rFonts w:hint="eastAsia" w:eastAsia="等线"/>
          <w:bCs/>
          <w:color w:val="000000"/>
          <w:lang w:val="en-US" w:eastAsia="zh-CN"/>
        </w:rPr>
        <w:t>1</w:t>
      </w:r>
      <w:r>
        <w:rPr>
          <w:rFonts w:eastAsia="等线"/>
          <w:bCs/>
          <w:color w:val="000000"/>
          <w:lang w:eastAsia="ja-JP"/>
        </w:rPr>
        <w:t xml:space="preserve"> +</w:t>
      </w:r>
      <w:r>
        <w:rPr>
          <w:rFonts w:hint="eastAsia" w:eastAsia="等线"/>
          <w:bCs/>
          <w:color w:val="000000"/>
          <w:lang w:val="en-US" w:eastAsia="zh-CN"/>
        </w:rPr>
        <w:t xml:space="preserve"> 0.5</w:t>
      </w:r>
      <w:r>
        <w:rPr>
          <w:rFonts w:eastAsia="等线"/>
          <w:bCs/>
          <w:color w:val="000000"/>
          <w:lang w:eastAsia="ja-JP"/>
        </w:rPr>
        <w:t xml:space="preserve"> = </w:t>
      </w:r>
      <w:r>
        <w:rPr>
          <w:rFonts w:hint="eastAsia" w:eastAsia="等线"/>
          <w:bCs/>
          <w:color w:val="000000"/>
          <w:lang w:val="en-US" w:eastAsia="zh-CN"/>
        </w:rPr>
        <w:t>1.5</w:t>
      </w:r>
    </w:p>
    <w:p>
      <w:pPr>
        <w:rPr>
          <w:rFonts w:hint="eastAsia"/>
          <w:sz w:val="20"/>
          <w:szCs w:val="20"/>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bookmarkStart w:id="0" w:name="_GoBack"/>
      <w:bookmarkEnd w:id="0"/>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6"/>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6"/>
            </w:pPr>
            <w:r>
              <w:t xml:space="preserve">Type </w:t>
            </w:r>
          </w:p>
        </w:tc>
        <w:tc>
          <w:tcPr>
            <w:tcW w:w="1134" w:type="dxa"/>
            <w:shd w:val="clear" w:color="auto" w:fill="D9D9D9"/>
            <w:tcMar>
              <w:left w:w="57" w:type="dxa"/>
              <w:right w:w="57" w:type="dxa"/>
            </w:tcMar>
          </w:tcPr>
          <w:p>
            <w:pPr>
              <w:pStyle w:val="26"/>
            </w:pPr>
            <w:r>
              <w:t>TS/TR number</w:t>
            </w:r>
          </w:p>
        </w:tc>
        <w:tc>
          <w:tcPr>
            <w:tcW w:w="2409" w:type="dxa"/>
            <w:shd w:val="clear" w:color="auto" w:fill="D9D9D9"/>
            <w:tcMar>
              <w:left w:w="57" w:type="dxa"/>
              <w:right w:w="57" w:type="dxa"/>
            </w:tcMar>
          </w:tcPr>
          <w:p>
            <w:pPr>
              <w:pStyle w:val="26"/>
            </w:pPr>
            <w:r>
              <w:t>Title</w:t>
            </w:r>
          </w:p>
        </w:tc>
        <w:tc>
          <w:tcPr>
            <w:tcW w:w="993" w:type="dxa"/>
            <w:shd w:val="clear" w:color="auto" w:fill="D9D9D9"/>
            <w:tcMar>
              <w:left w:w="57" w:type="dxa"/>
              <w:right w:w="57" w:type="dxa"/>
            </w:tcMar>
          </w:tcPr>
          <w:p>
            <w:pPr>
              <w:pStyle w:val="26"/>
            </w:pPr>
            <w:r>
              <w:t xml:space="preserve">For info </w:t>
            </w:r>
            <w:r>
              <w:br w:type="textWrapping"/>
            </w:r>
            <w:r>
              <w:t xml:space="preserve">at TSG# </w:t>
            </w:r>
          </w:p>
        </w:tc>
        <w:tc>
          <w:tcPr>
            <w:tcW w:w="1074" w:type="dxa"/>
            <w:shd w:val="clear" w:color="auto" w:fill="D9D9D9"/>
            <w:tcMar>
              <w:left w:w="57" w:type="dxa"/>
              <w:right w:w="57" w:type="dxa"/>
            </w:tcMar>
          </w:tcPr>
          <w:p>
            <w:pPr>
              <w:pStyle w:val="26"/>
            </w:pPr>
            <w:r>
              <w:t>For approval at TSG#</w:t>
            </w:r>
          </w:p>
        </w:tc>
        <w:tc>
          <w:tcPr>
            <w:tcW w:w="2186" w:type="dxa"/>
            <w:shd w:val="clear" w:color="auto" w:fill="D9D9D9"/>
            <w:tcMar>
              <w:left w:w="57" w:type="dxa"/>
              <w:right w:w="57" w:type="dxa"/>
            </w:tcMar>
          </w:tcPr>
          <w:p>
            <w:pPr>
              <w:pStyle w:val="26"/>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3"/>
              <w:spacing w:after="0"/>
            </w:pPr>
            <w:r>
              <w:t>Internal TR</w:t>
            </w:r>
          </w:p>
        </w:tc>
        <w:tc>
          <w:tcPr>
            <w:tcW w:w="1134" w:type="dxa"/>
          </w:tcPr>
          <w:p>
            <w:pPr>
              <w:pStyle w:val="23"/>
              <w:spacing w:after="0"/>
            </w:pPr>
            <w:r>
              <w:t>TBD</w:t>
            </w:r>
          </w:p>
        </w:tc>
        <w:tc>
          <w:tcPr>
            <w:tcW w:w="2409" w:type="dxa"/>
          </w:tcPr>
          <w:p>
            <w:pPr>
              <w:pStyle w:val="23"/>
              <w:spacing w:after="0"/>
            </w:pPr>
            <w:r>
              <w:t xml:space="preserve">Feasibility Study on </w:t>
            </w:r>
            <w:r>
              <w:rPr>
                <w:rFonts w:hint="eastAsia"/>
              </w:rPr>
              <w:t>enhancing Emergency Services when there is no alternative Circuit Switched network</w:t>
            </w:r>
          </w:p>
        </w:tc>
        <w:tc>
          <w:tcPr>
            <w:tcW w:w="993" w:type="dxa"/>
          </w:tcPr>
          <w:p>
            <w:pPr>
              <w:pStyle w:val="23"/>
              <w:spacing w:after="0"/>
            </w:pPr>
            <w:r>
              <w:t>TBD</w:t>
            </w:r>
          </w:p>
        </w:tc>
        <w:tc>
          <w:tcPr>
            <w:tcW w:w="1074" w:type="dxa"/>
          </w:tcPr>
          <w:p>
            <w:pPr>
              <w:pStyle w:val="23"/>
              <w:spacing w:after="0"/>
            </w:pPr>
            <w:r>
              <w:t>TBD</w:t>
            </w:r>
          </w:p>
        </w:tc>
        <w:tc>
          <w:tcPr>
            <w:tcW w:w="2186" w:type="dxa"/>
          </w:tcPr>
          <w:p>
            <w:pPr>
              <w:pStyle w:val="23"/>
              <w:spacing w:after="0"/>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pPr>
          </w:p>
        </w:tc>
        <w:tc>
          <w:tcPr>
            <w:tcW w:w="1134" w:type="dxa"/>
          </w:tcPr>
          <w:p>
            <w:pPr>
              <w:pStyle w:val="25"/>
            </w:pPr>
          </w:p>
        </w:tc>
        <w:tc>
          <w:tcPr>
            <w:tcW w:w="2409" w:type="dxa"/>
          </w:tcPr>
          <w:p>
            <w:pPr>
              <w:pStyle w:val="25"/>
            </w:pPr>
          </w:p>
        </w:tc>
        <w:tc>
          <w:tcPr>
            <w:tcW w:w="993" w:type="dxa"/>
          </w:tcPr>
          <w:p>
            <w:pPr>
              <w:pStyle w:val="25"/>
            </w:pPr>
          </w:p>
        </w:tc>
        <w:tc>
          <w:tcPr>
            <w:tcW w:w="1074" w:type="dxa"/>
          </w:tcPr>
          <w:p>
            <w:pPr>
              <w:pStyle w:val="25"/>
            </w:pPr>
          </w:p>
        </w:tc>
        <w:tc>
          <w:tcPr>
            <w:tcW w:w="2186" w:type="dxa"/>
          </w:tcPr>
          <w:p>
            <w:pPr>
              <w:pStyle w:val="25"/>
            </w:pPr>
          </w:p>
        </w:tc>
      </w:tr>
    </w:tbl>
    <w:p>
      <w:pPr>
        <w:pStyle w:val="28"/>
      </w:pPr>
    </w:p>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6"/>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6"/>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6"/>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6"/>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6"/>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3"/>
              <w:spacing w:after="0"/>
            </w:pPr>
            <w:r>
              <w:t>None (during Study)</w:t>
            </w:r>
          </w:p>
        </w:tc>
        <w:tc>
          <w:tcPr>
            <w:tcW w:w="4344" w:type="dxa"/>
            <w:tcBorders>
              <w:top w:val="single" w:color="auto" w:sz="4" w:space="0"/>
              <w:left w:val="single" w:color="auto" w:sz="4" w:space="0"/>
              <w:bottom w:val="single" w:color="auto" w:sz="4" w:space="0"/>
              <w:right w:val="single" w:color="auto" w:sz="4" w:space="0"/>
            </w:tcBorders>
          </w:tcPr>
          <w:p>
            <w:pPr>
              <w:pStyle w:val="23"/>
              <w:spacing w:after="0"/>
            </w:pPr>
            <w:r>
              <w:t>None</w:t>
            </w:r>
          </w:p>
        </w:tc>
        <w:tc>
          <w:tcPr>
            <w:tcW w:w="1417" w:type="dxa"/>
            <w:tcBorders>
              <w:top w:val="single" w:color="auto" w:sz="4" w:space="0"/>
              <w:left w:val="single" w:color="auto" w:sz="4" w:space="0"/>
              <w:bottom w:val="single" w:color="auto" w:sz="4" w:space="0"/>
              <w:right w:val="single" w:color="auto" w:sz="4" w:space="0"/>
            </w:tcBorders>
          </w:tcPr>
          <w:p>
            <w:pPr>
              <w:pStyle w:val="23"/>
              <w:spacing w:after="0"/>
            </w:pPr>
            <w:r>
              <w:t>None</w:t>
            </w:r>
          </w:p>
        </w:tc>
        <w:tc>
          <w:tcPr>
            <w:tcW w:w="2101" w:type="dxa"/>
            <w:tcBorders>
              <w:top w:val="single" w:color="auto" w:sz="4" w:space="0"/>
              <w:left w:val="single" w:color="auto" w:sz="4" w:space="0"/>
              <w:bottom w:val="single" w:color="auto" w:sz="4" w:space="0"/>
              <w:right w:val="single" w:color="auto" w:sz="4" w:space="0"/>
            </w:tcBorders>
          </w:tcPr>
          <w:p>
            <w:pPr>
              <w:pStyle w:val="23"/>
              <w:spacing w:after="0"/>
            </w:pPr>
            <w:r>
              <w:t>Expect Normative work to affect TS23.294 as well as other Specifications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pPr>
          </w:p>
        </w:tc>
        <w:tc>
          <w:tcPr>
            <w:tcW w:w="4344" w:type="dxa"/>
            <w:tcBorders>
              <w:top w:val="single" w:color="auto" w:sz="4" w:space="0"/>
              <w:left w:val="single" w:color="auto" w:sz="4" w:space="0"/>
              <w:bottom w:val="single" w:color="auto" w:sz="4" w:space="0"/>
              <w:right w:val="single" w:color="auto" w:sz="4" w:space="0"/>
            </w:tcBorders>
          </w:tcPr>
          <w:p>
            <w:pPr>
              <w:pStyle w:val="25"/>
            </w:pPr>
          </w:p>
        </w:tc>
        <w:tc>
          <w:tcPr>
            <w:tcW w:w="1417" w:type="dxa"/>
            <w:tcBorders>
              <w:top w:val="single" w:color="auto" w:sz="4" w:space="0"/>
              <w:left w:val="single" w:color="auto" w:sz="4" w:space="0"/>
              <w:bottom w:val="single" w:color="auto" w:sz="4" w:space="0"/>
              <w:right w:val="single" w:color="auto" w:sz="4" w:space="0"/>
            </w:tcBorders>
          </w:tcPr>
          <w:p>
            <w:pPr>
              <w:pStyle w:val="25"/>
            </w:pPr>
          </w:p>
        </w:tc>
        <w:tc>
          <w:tcPr>
            <w:tcW w:w="2101" w:type="dxa"/>
            <w:tcBorders>
              <w:top w:val="single" w:color="auto" w:sz="4" w:space="0"/>
              <w:left w:val="single" w:color="auto" w:sz="4" w:space="0"/>
              <w:bottom w:val="single" w:color="auto" w:sz="4" w:space="0"/>
              <w:right w:val="single" w:color="auto" w:sz="4" w:space="0"/>
            </w:tcBorders>
          </w:tcPr>
          <w:p>
            <w:pPr>
              <w:pStyle w:val="25"/>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3"/>
        <w:rPr>
          <w:i w:val="0"/>
          <w:iCs/>
        </w:rPr>
      </w:pPr>
      <w:r>
        <w:rPr>
          <w:i w:val="0"/>
          <w:iCs/>
        </w:rPr>
        <w:t>SA2</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rFonts w:hint="default" w:eastAsia="宋体"/>
          <w:lang w:val="en-US" w:eastAsia="zh-CN"/>
        </w:rPr>
      </w:pPr>
      <w:r>
        <w:rPr>
          <w:rFonts w:hint="eastAsia" w:eastAsia="宋体"/>
          <w:lang w:val="en-US" w:eastAsia="zh-CN"/>
        </w:rPr>
        <w:t>None.</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eastAsia="宋体"/>
                <w:lang w:val="en-US" w:eastAsia="zh-CN"/>
              </w:rPr>
            </w:pPr>
            <w:r>
              <w:rPr>
                <w:rFonts w:hint="eastAsia" w:eastAsia="宋体"/>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4B740B"/>
    <w:multiLevelType w:val="singleLevel"/>
    <w:tmpl w:val="934B740B"/>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E54"/>
    <w:rsid w:val="00011FE2"/>
    <w:rsid w:val="0002191A"/>
    <w:rsid w:val="0003016C"/>
    <w:rsid w:val="00030CD4"/>
    <w:rsid w:val="000344A1"/>
    <w:rsid w:val="00042051"/>
    <w:rsid w:val="00046686"/>
    <w:rsid w:val="00046FDD"/>
    <w:rsid w:val="000475F1"/>
    <w:rsid w:val="00050925"/>
    <w:rsid w:val="00054884"/>
    <w:rsid w:val="0005594E"/>
    <w:rsid w:val="00057B3B"/>
    <w:rsid w:val="00057E1E"/>
    <w:rsid w:val="0006182E"/>
    <w:rsid w:val="0006619D"/>
    <w:rsid w:val="000726EB"/>
    <w:rsid w:val="00072A7C"/>
    <w:rsid w:val="00072CED"/>
    <w:rsid w:val="000775E7"/>
    <w:rsid w:val="0007775C"/>
    <w:rsid w:val="00094F23"/>
    <w:rsid w:val="000967F4"/>
    <w:rsid w:val="000A6432"/>
    <w:rsid w:val="000D6D78"/>
    <w:rsid w:val="000E0429"/>
    <w:rsid w:val="000E0437"/>
    <w:rsid w:val="000F6E51"/>
    <w:rsid w:val="00102A24"/>
    <w:rsid w:val="001244C2"/>
    <w:rsid w:val="0013259C"/>
    <w:rsid w:val="00135831"/>
    <w:rsid w:val="0013687E"/>
    <w:rsid w:val="001376A6"/>
    <w:rsid w:val="001424CD"/>
    <w:rsid w:val="0014389B"/>
    <w:rsid w:val="0014413C"/>
    <w:rsid w:val="00150C36"/>
    <w:rsid w:val="00157F50"/>
    <w:rsid w:val="00157FFB"/>
    <w:rsid w:val="001607AE"/>
    <w:rsid w:val="00166A1B"/>
    <w:rsid w:val="00167F4A"/>
    <w:rsid w:val="00170EDB"/>
    <w:rsid w:val="00180FBE"/>
    <w:rsid w:val="00190773"/>
    <w:rsid w:val="00192528"/>
    <w:rsid w:val="00192B41"/>
    <w:rsid w:val="0019338C"/>
    <w:rsid w:val="00193EA6"/>
    <w:rsid w:val="00197E4A"/>
    <w:rsid w:val="001A31EF"/>
    <w:rsid w:val="001A3E7E"/>
    <w:rsid w:val="001B01F1"/>
    <w:rsid w:val="001B2414"/>
    <w:rsid w:val="001B5421"/>
    <w:rsid w:val="001B650D"/>
    <w:rsid w:val="001C4D9B"/>
    <w:rsid w:val="001C5633"/>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6DEB"/>
    <w:rsid w:val="00283415"/>
    <w:rsid w:val="002919B7"/>
    <w:rsid w:val="00291EF2"/>
    <w:rsid w:val="00295D61"/>
    <w:rsid w:val="00297C1F"/>
    <w:rsid w:val="002A17D5"/>
    <w:rsid w:val="002B074C"/>
    <w:rsid w:val="002B2FB2"/>
    <w:rsid w:val="002B2FE7"/>
    <w:rsid w:val="002B34EA"/>
    <w:rsid w:val="002B5361"/>
    <w:rsid w:val="002C1BA4"/>
    <w:rsid w:val="002C47B8"/>
    <w:rsid w:val="002E397B"/>
    <w:rsid w:val="002E3AE2"/>
    <w:rsid w:val="002F4544"/>
    <w:rsid w:val="002F7CCB"/>
    <w:rsid w:val="00301992"/>
    <w:rsid w:val="003057FD"/>
    <w:rsid w:val="003101C6"/>
    <w:rsid w:val="00310E70"/>
    <w:rsid w:val="00313F3E"/>
    <w:rsid w:val="0032048D"/>
    <w:rsid w:val="00320536"/>
    <w:rsid w:val="00325E33"/>
    <w:rsid w:val="003275E6"/>
    <w:rsid w:val="00354553"/>
    <w:rsid w:val="003715B7"/>
    <w:rsid w:val="00376C60"/>
    <w:rsid w:val="00377F2E"/>
    <w:rsid w:val="00392C87"/>
    <w:rsid w:val="003A5FFA"/>
    <w:rsid w:val="003A67E1"/>
    <w:rsid w:val="003A7108"/>
    <w:rsid w:val="003D4593"/>
    <w:rsid w:val="003E29F7"/>
    <w:rsid w:val="003E2C8B"/>
    <w:rsid w:val="003E4AC7"/>
    <w:rsid w:val="003E5604"/>
    <w:rsid w:val="003E57A1"/>
    <w:rsid w:val="003E6275"/>
    <w:rsid w:val="003E710B"/>
    <w:rsid w:val="003F1C0E"/>
    <w:rsid w:val="004008D7"/>
    <w:rsid w:val="0040145D"/>
    <w:rsid w:val="00402584"/>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B11EC"/>
    <w:rsid w:val="004C3CA0"/>
    <w:rsid w:val="004C4C9B"/>
    <w:rsid w:val="004D2FA0"/>
    <w:rsid w:val="004E1010"/>
    <w:rsid w:val="004F4172"/>
    <w:rsid w:val="0050202A"/>
    <w:rsid w:val="005046D9"/>
    <w:rsid w:val="005058C7"/>
    <w:rsid w:val="00507903"/>
    <w:rsid w:val="0052032E"/>
    <w:rsid w:val="00521896"/>
    <w:rsid w:val="00521F93"/>
    <w:rsid w:val="00522A80"/>
    <w:rsid w:val="00535A39"/>
    <w:rsid w:val="00544D8F"/>
    <w:rsid w:val="00553BDE"/>
    <w:rsid w:val="00556F13"/>
    <w:rsid w:val="00560248"/>
    <w:rsid w:val="00562495"/>
    <w:rsid w:val="0057401B"/>
    <w:rsid w:val="0057464D"/>
    <w:rsid w:val="00577727"/>
    <w:rsid w:val="005777AF"/>
    <w:rsid w:val="00586562"/>
    <w:rsid w:val="0059021F"/>
    <w:rsid w:val="00590B24"/>
    <w:rsid w:val="00593DC4"/>
    <w:rsid w:val="0059529B"/>
    <w:rsid w:val="005954DD"/>
    <w:rsid w:val="00595AAE"/>
    <w:rsid w:val="005A269B"/>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374"/>
    <w:rsid w:val="005E07CB"/>
    <w:rsid w:val="005E0BF8"/>
    <w:rsid w:val="005E28D0"/>
    <w:rsid w:val="005E32BB"/>
    <w:rsid w:val="005E7235"/>
    <w:rsid w:val="005F041C"/>
    <w:rsid w:val="005F2E94"/>
    <w:rsid w:val="005F4B34"/>
    <w:rsid w:val="00616E18"/>
    <w:rsid w:val="00620287"/>
    <w:rsid w:val="00623AED"/>
    <w:rsid w:val="00625201"/>
    <w:rsid w:val="0062580F"/>
    <w:rsid w:val="00632157"/>
    <w:rsid w:val="00633971"/>
    <w:rsid w:val="006341C6"/>
    <w:rsid w:val="0064121E"/>
    <w:rsid w:val="00642894"/>
    <w:rsid w:val="00660354"/>
    <w:rsid w:val="006606DB"/>
    <w:rsid w:val="00665B9B"/>
    <w:rsid w:val="0067616E"/>
    <w:rsid w:val="00677C7E"/>
    <w:rsid w:val="00690725"/>
    <w:rsid w:val="00693606"/>
    <w:rsid w:val="00693D70"/>
    <w:rsid w:val="006975AE"/>
    <w:rsid w:val="006A0E66"/>
    <w:rsid w:val="006A0F12"/>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0749"/>
    <w:rsid w:val="007D3C7C"/>
    <w:rsid w:val="007D687A"/>
    <w:rsid w:val="007E104E"/>
    <w:rsid w:val="007E1BA0"/>
    <w:rsid w:val="007F2297"/>
    <w:rsid w:val="007F3DC1"/>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B338C"/>
    <w:rsid w:val="008D3DA6"/>
    <w:rsid w:val="008D5DA3"/>
    <w:rsid w:val="008E70F7"/>
    <w:rsid w:val="008F1D3B"/>
    <w:rsid w:val="008F7444"/>
    <w:rsid w:val="008F7A15"/>
    <w:rsid w:val="0091321C"/>
    <w:rsid w:val="00913788"/>
    <w:rsid w:val="009137D3"/>
    <w:rsid w:val="0091399A"/>
    <w:rsid w:val="00922D75"/>
    <w:rsid w:val="00926791"/>
    <w:rsid w:val="0093661C"/>
    <w:rsid w:val="00940736"/>
    <w:rsid w:val="00941253"/>
    <w:rsid w:val="00942A39"/>
    <w:rsid w:val="00944204"/>
    <w:rsid w:val="0095038B"/>
    <w:rsid w:val="00950CF7"/>
    <w:rsid w:val="00960A44"/>
    <w:rsid w:val="009628FB"/>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AF4446"/>
    <w:rsid w:val="00B00077"/>
    <w:rsid w:val="00B03107"/>
    <w:rsid w:val="00B10820"/>
    <w:rsid w:val="00B16E03"/>
    <w:rsid w:val="00B172EB"/>
    <w:rsid w:val="00B1749C"/>
    <w:rsid w:val="00B260FB"/>
    <w:rsid w:val="00B30214"/>
    <w:rsid w:val="00B3526C"/>
    <w:rsid w:val="00B376E0"/>
    <w:rsid w:val="00B400FD"/>
    <w:rsid w:val="00B43DA4"/>
    <w:rsid w:val="00B45C31"/>
    <w:rsid w:val="00B47534"/>
    <w:rsid w:val="00B50B89"/>
    <w:rsid w:val="00B52AFB"/>
    <w:rsid w:val="00B5557E"/>
    <w:rsid w:val="00B63284"/>
    <w:rsid w:val="00B75CE0"/>
    <w:rsid w:val="00B84B54"/>
    <w:rsid w:val="00B920E1"/>
    <w:rsid w:val="00B92B0A"/>
    <w:rsid w:val="00B92C7D"/>
    <w:rsid w:val="00B93BB2"/>
    <w:rsid w:val="00B941A5"/>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27E8"/>
    <w:rsid w:val="00CA2B4F"/>
    <w:rsid w:val="00CA5DB0"/>
    <w:rsid w:val="00CC084E"/>
    <w:rsid w:val="00CC58ED"/>
    <w:rsid w:val="00D0135E"/>
    <w:rsid w:val="00D145EC"/>
    <w:rsid w:val="00D355FB"/>
    <w:rsid w:val="00D43C0B"/>
    <w:rsid w:val="00D44A74"/>
    <w:rsid w:val="00D570AA"/>
    <w:rsid w:val="00D57CD2"/>
    <w:rsid w:val="00D57E66"/>
    <w:rsid w:val="00D63CBA"/>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D7BE2"/>
    <w:rsid w:val="00DE5BBF"/>
    <w:rsid w:val="00DF01BE"/>
    <w:rsid w:val="00E013A9"/>
    <w:rsid w:val="00E03A99"/>
    <w:rsid w:val="00E041CD"/>
    <w:rsid w:val="00E06534"/>
    <w:rsid w:val="00E126A5"/>
    <w:rsid w:val="00E1463F"/>
    <w:rsid w:val="00E34AA9"/>
    <w:rsid w:val="00E363A9"/>
    <w:rsid w:val="00E413E0"/>
    <w:rsid w:val="00E42D3C"/>
    <w:rsid w:val="00E53AE3"/>
    <w:rsid w:val="00E5574A"/>
    <w:rsid w:val="00E64FB2"/>
    <w:rsid w:val="00E67B7D"/>
    <w:rsid w:val="00E81E2C"/>
    <w:rsid w:val="00E82FBF"/>
    <w:rsid w:val="00EA662E"/>
    <w:rsid w:val="00EB5D2F"/>
    <w:rsid w:val="00EB69E5"/>
    <w:rsid w:val="00EC10EC"/>
    <w:rsid w:val="00EC456C"/>
    <w:rsid w:val="00ED166C"/>
    <w:rsid w:val="00ED5FA6"/>
    <w:rsid w:val="00ED6080"/>
    <w:rsid w:val="00EE0176"/>
    <w:rsid w:val="00EF0942"/>
    <w:rsid w:val="00EF291F"/>
    <w:rsid w:val="00F0218C"/>
    <w:rsid w:val="00F0251A"/>
    <w:rsid w:val="00F0393B"/>
    <w:rsid w:val="00F15D08"/>
    <w:rsid w:val="00F26838"/>
    <w:rsid w:val="00F313DD"/>
    <w:rsid w:val="00F378BE"/>
    <w:rsid w:val="00F43120"/>
    <w:rsid w:val="00F44FF2"/>
    <w:rsid w:val="00F64378"/>
    <w:rsid w:val="00F67FC3"/>
    <w:rsid w:val="00F763A4"/>
    <w:rsid w:val="00F80D67"/>
    <w:rsid w:val="00F81CF2"/>
    <w:rsid w:val="00F82A04"/>
    <w:rsid w:val="00F83DF3"/>
    <w:rsid w:val="00F941B8"/>
    <w:rsid w:val="00FA57DA"/>
    <w:rsid w:val="00FA5FA5"/>
    <w:rsid w:val="00FA6721"/>
    <w:rsid w:val="00FA7365"/>
    <w:rsid w:val="00FA7990"/>
    <w:rsid w:val="00FA79A7"/>
    <w:rsid w:val="00FC4460"/>
    <w:rsid w:val="00FC643D"/>
    <w:rsid w:val="00FD1DAF"/>
    <w:rsid w:val="00FE3DCC"/>
    <w:rsid w:val="00FE53C8"/>
    <w:rsid w:val="00FE5FB7"/>
    <w:rsid w:val="00FF7082"/>
    <w:rsid w:val="01E32DE1"/>
    <w:rsid w:val="02267ECC"/>
    <w:rsid w:val="03B70174"/>
    <w:rsid w:val="03BD6B58"/>
    <w:rsid w:val="068A0212"/>
    <w:rsid w:val="077D23B8"/>
    <w:rsid w:val="100F145E"/>
    <w:rsid w:val="10CD18B4"/>
    <w:rsid w:val="12B13F58"/>
    <w:rsid w:val="14BB361E"/>
    <w:rsid w:val="18DB1999"/>
    <w:rsid w:val="1DE624FB"/>
    <w:rsid w:val="1E351417"/>
    <w:rsid w:val="1F221C5A"/>
    <w:rsid w:val="204322E1"/>
    <w:rsid w:val="265F5CBB"/>
    <w:rsid w:val="26700D55"/>
    <w:rsid w:val="2820395D"/>
    <w:rsid w:val="2A3A094B"/>
    <w:rsid w:val="2A903B69"/>
    <w:rsid w:val="2D90678C"/>
    <w:rsid w:val="2E080C02"/>
    <w:rsid w:val="2EEB1B99"/>
    <w:rsid w:val="33823080"/>
    <w:rsid w:val="352F2844"/>
    <w:rsid w:val="389A2E1F"/>
    <w:rsid w:val="3A623E6C"/>
    <w:rsid w:val="3FFD64B7"/>
    <w:rsid w:val="45C40199"/>
    <w:rsid w:val="45FD74F9"/>
    <w:rsid w:val="480F301E"/>
    <w:rsid w:val="4A246566"/>
    <w:rsid w:val="4A9B6E22"/>
    <w:rsid w:val="57CE20EC"/>
    <w:rsid w:val="5D1C7031"/>
    <w:rsid w:val="5DF04249"/>
    <w:rsid w:val="5ED12BC1"/>
    <w:rsid w:val="61A572AC"/>
    <w:rsid w:val="62FA4409"/>
    <w:rsid w:val="630C182D"/>
    <w:rsid w:val="632E085C"/>
    <w:rsid w:val="63564B49"/>
    <w:rsid w:val="646370E3"/>
    <w:rsid w:val="66942F0D"/>
    <w:rsid w:val="69DD3EEC"/>
    <w:rsid w:val="71554658"/>
    <w:rsid w:val="743E69BF"/>
    <w:rsid w:val="75A66659"/>
    <w:rsid w:val="76234835"/>
    <w:rsid w:val="77D072B9"/>
    <w:rsid w:val="7B4115CB"/>
    <w:rsid w:val="7C935CB4"/>
    <w:rsid w:val="7DEF70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Revision"/>
    <w:hidden/>
    <w:semiHidden/>
    <w:qFormat/>
    <w:uiPriority w:val="99"/>
    <w:rPr>
      <w:rFonts w:ascii="Times New Roman" w:hAnsi="Times New Roman" w:eastAsia="Times New Roman"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803</Words>
  <Characters>4583</Characters>
  <Lines>38</Lines>
  <Paragraphs>10</Paragraphs>
  <TotalTime>1</TotalTime>
  <ScaleCrop>false</ScaleCrop>
  <LinksUpToDate>false</LinksUpToDate>
  <CharactersWithSpaces>5376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Yi Jiang</cp:lastModifiedBy>
  <cp:lastPrinted>2001-04-23T09:30:00Z</cp:lastPrinted>
  <dcterms:modified xsi:type="dcterms:W3CDTF">2023-08-11T11:53:30Z</dcterms:modified>
  <dc:title>Source:</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5F0A658116984632A27884670709EA9C</vt:lpwstr>
  </property>
</Properties>
</file>